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33B0" w14:textId="28B72494" w:rsidR="00EC4E9E" w:rsidRDefault="00EC4E9E" w:rsidP="00EC4E9E">
      <w:pPr>
        <w:autoSpaceDE w:val="0"/>
        <w:autoSpaceDN w:val="0"/>
        <w:adjustRightInd w:val="0"/>
        <w:spacing w:after="0" w:line="240" w:lineRule="auto"/>
        <w:jc w:val="center"/>
        <w:rPr>
          <w:rFonts w:ascii="WarnockPro-Bold" w:hAnsi="WarnockPro-Bold" w:cs="WarnockPro-Bold"/>
          <w:b/>
          <w:bCs/>
          <w:kern w:val="0"/>
          <w:sz w:val="28"/>
          <w:szCs w:val="28"/>
        </w:rPr>
      </w:pPr>
      <w:r w:rsidRPr="00EC4E9E">
        <w:rPr>
          <w:rFonts w:ascii="WarnockPro-Bold" w:hAnsi="WarnockPro-Bold" w:cs="WarnockPro-Bold"/>
          <w:b/>
          <w:bCs/>
          <w:kern w:val="0"/>
          <w:sz w:val="28"/>
          <w:szCs w:val="28"/>
        </w:rPr>
        <w:t>Journal f</w:t>
      </w:r>
      <w:r>
        <w:rPr>
          <w:rFonts w:ascii="WarnockPro-Bold" w:hAnsi="WarnockPro-Bold" w:cs="WarnockPro-Bold"/>
          <w:b/>
          <w:bCs/>
          <w:kern w:val="0"/>
          <w:sz w:val="28"/>
          <w:szCs w:val="28"/>
        </w:rPr>
        <w:t xml:space="preserve">or Distinguished Language Studies </w:t>
      </w:r>
    </w:p>
    <w:p w14:paraId="2F5028A2" w14:textId="249F1E2F" w:rsidR="00EC4E9E" w:rsidRDefault="00EC4E9E" w:rsidP="00EC4E9E">
      <w:pPr>
        <w:autoSpaceDE w:val="0"/>
        <w:autoSpaceDN w:val="0"/>
        <w:adjustRightInd w:val="0"/>
        <w:spacing w:after="0" w:line="240" w:lineRule="auto"/>
        <w:jc w:val="center"/>
        <w:rPr>
          <w:rFonts w:ascii="WarnockPro-Bold" w:hAnsi="WarnockPro-Bold" w:cs="WarnockPro-Bold"/>
          <w:b/>
          <w:bCs/>
          <w:kern w:val="0"/>
          <w:sz w:val="28"/>
          <w:szCs w:val="28"/>
        </w:rPr>
      </w:pPr>
      <w:r>
        <w:rPr>
          <w:rFonts w:ascii="WarnockPro-Bold" w:hAnsi="WarnockPro-Bold" w:cs="WarnockPro-Bold"/>
          <w:b/>
          <w:bCs/>
          <w:kern w:val="0"/>
          <w:sz w:val="28"/>
          <w:szCs w:val="28"/>
        </w:rPr>
        <w:t>Volume 8 (2021-2022)</w:t>
      </w:r>
    </w:p>
    <w:p w14:paraId="7FA71813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jc w:val="center"/>
        <w:rPr>
          <w:rFonts w:ascii="WarnockPro-Bold" w:hAnsi="WarnockPro-Bold" w:cs="WarnockPro-Bold"/>
          <w:b/>
          <w:bCs/>
          <w:kern w:val="0"/>
          <w:sz w:val="28"/>
          <w:szCs w:val="28"/>
        </w:rPr>
      </w:pPr>
    </w:p>
    <w:p w14:paraId="56733672" w14:textId="6BE5B9D6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jc w:val="center"/>
        <w:rPr>
          <w:rFonts w:ascii="WarnockPro-Bold" w:hAnsi="WarnockPro-Bold" w:cs="WarnockPro-Bold"/>
          <w:b/>
          <w:bCs/>
          <w:kern w:val="0"/>
          <w:sz w:val="28"/>
          <w:szCs w:val="28"/>
        </w:rPr>
      </w:pPr>
      <w:r w:rsidRPr="00EC4E9E">
        <w:rPr>
          <w:rFonts w:ascii="WarnockPro-Bold" w:hAnsi="WarnockPro-Bold" w:cs="WarnockPro-Bold"/>
          <w:b/>
          <w:bCs/>
          <w:kern w:val="0"/>
          <w:sz w:val="28"/>
          <w:szCs w:val="28"/>
        </w:rPr>
        <w:t>Abstracts in French</w:t>
      </w:r>
    </w:p>
    <w:p w14:paraId="1CFC9413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jc w:val="center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Jérôme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Collin</w:t>
      </w:r>
      <w:proofErr w:type="spellEnd"/>
    </w:p>
    <w:p w14:paraId="498803D5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</w:p>
    <w:p w14:paraId="20C95C85" w14:textId="48539500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Au-delà du langage : Le </w:t>
      </w:r>
      <w:proofErr w:type="spellStart"/>
      <w:r w:rsidRPr="00EC4E9E">
        <w:rPr>
          <w:rFonts w:ascii="WarnockPro-BoldIt" w:hAnsi="WarnockPro-BoldIt" w:cs="WarnockPro-BoldIt"/>
          <w:b/>
          <w:bCs/>
          <w:i/>
          <w:iCs/>
          <w:kern w:val="0"/>
          <w:lang w:val="fr-LU"/>
        </w:rPr>
        <w:t>debating</w:t>
      </w:r>
      <w:proofErr w:type="spellEnd"/>
      <w:r w:rsidRPr="00EC4E9E">
        <w:rPr>
          <w:rFonts w:ascii="WarnockPro-BoldIt" w:hAnsi="WarnockPro-BoldIt" w:cs="WarnockPro-BoldIt"/>
          <w:b/>
          <w:bCs/>
          <w:i/>
          <w:iCs/>
          <w:kern w:val="0"/>
          <w:lang w:val="fr-LU"/>
        </w:rPr>
        <w:t xml:space="preserve"> </w:t>
      </w:r>
      <w:r w:rsidRPr="00EC4E9E">
        <w:rPr>
          <w:rFonts w:ascii="WarnockPro-Bold" w:hAnsi="WarnockPro-Bold" w:cs="WarnockPro-Bold"/>
          <w:b/>
          <w:bCs/>
          <w:kern w:val="0"/>
          <w:lang w:val="fr-LU"/>
        </w:rPr>
        <w:t>au service d’un engagement culturel de haute</w:t>
      </w:r>
    </w:p>
    <w:p w14:paraId="67EF15F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intensité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et du leadership</w:t>
      </w:r>
    </w:p>
    <w:p w14:paraId="5A2A485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Emilie Cleret (Ecole de guerre, Paris)</w:t>
      </w:r>
    </w:p>
    <w:p w14:paraId="23255658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Cet article traite de l’utilisation du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debating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>dans le cadre de l’Enseignement militaire</w:t>
      </w:r>
    </w:p>
    <w:p w14:paraId="6A6E3EAA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supérieure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(EMS) à l’Ecole de guerre de Paris pour aider les officiers à atteindre une</w:t>
      </w:r>
    </w:p>
    <w:p w14:paraId="2266F1A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compétence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linguistique en anglais semblable à celle d’un locuteur natif.</w:t>
      </w:r>
    </w:p>
    <w:p w14:paraId="62514AB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En France, l’Enseignement militaire supérieure (EMS) est </w:t>
      </w: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dispensée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par deux écoles</w:t>
      </w:r>
    </w:p>
    <w:p w14:paraId="63AD21E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– l’Ecole de Guerre et le Centre des hautes études militaires. Le cas étudié par cet article</w:t>
      </w:r>
    </w:p>
    <w:p w14:paraId="03FA94AE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concerne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l’utilisation du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debating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>par le Département langue anglaise pour soutenir les</w:t>
      </w:r>
    </w:p>
    <w:p w14:paraId="3F26910E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efforts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des officiers afin qu’ils puissent atteindre pendant leur formation d’un an à l’Ecole</w:t>
      </w:r>
    </w:p>
    <w:p w14:paraId="4597A89E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guerre un niveau de compétence en L2 semblable à celui d’un natif. La perspective de</w:t>
      </w:r>
    </w:p>
    <w:p w14:paraId="662C89C4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l’auteur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est celle d’un praticien qui dirige ce département, conçoit les cours et gère le corps</w:t>
      </w:r>
    </w:p>
    <w:p w14:paraId="55AE124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enseignant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qui les dispense. Tous les membres du corps professoral sont originaires de</w:t>
      </w:r>
    </w:p>
    <w:p w14:paraId="11FFDAC1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pays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anglophones.</w:t>
      </w:r>
    </w:p>
    <w:p w14:paraId="1F77D0FE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Mots-</w:t>
      </w: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clés: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Debating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>, leadership, éducation militaire (française), culture, argumentation,</w:t>
      </w:r>
    </w:p>
    <w:p w14:paraId="5299609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prise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parole.</w:t>
      </w:r>
    </w:p>
    <w:p w14:paraId="048C8DDC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</w:p>
    <w:p w14:paraId="611A484E" w14:textId="5921E64A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Aider les apprenants à atteindre un très haut niveau de compétence</w:t>
      </w:r>
    </w:p>
    <w:p w14:paraId="4854C9E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James E. Bernhardt,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Ph.D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>. (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Foreign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Service Institute</w:t>
      </w:r>
      <w:r w:rsidRPr="00EC4E9E">
        <w:rPr>
          <w:rFonts w:ascii="WarnockPro-Regular" w:hAnsi="WarnockPro-Regular" w:cs="WarnockPro-Regular"/>
          <w:kern w:val="0"/>
          <w:lang w:val="fr-LU"/>
        </w:rPr>
        <w:t>, émérite)</w:t>
      </w:r>
    </w:p>
    <w:p w14:paraId="77D3710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Le présent article propose que tous les apprenants qui ont atteint niveau avancé de</w:t>
      </w:r>
    </w:p>
    <w:p w14:paraId="05A3CA8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compétence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et qui souhaitent atteindre un très haut niveau ont en commun la nécessité</w:t>
      </w:r>
    </w:p>
    <w:p w14:paraId="779E2EE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doubler la taille de leur vocabulaire. L’article suggère que les modèles pédagogiques</w:t>
      </w:r>
    </w:p>
    <w:p w14:paraId="0A7A502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pour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la formation au très haut niveau devraient inclure une quantité massive d’éléments</w:t>
      </w:r>
    </w:p>
    <w:p w14:paraId="1161A1F1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lexicaux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pour améliorer les compétences réceptives (textes, audio et vidéo). Il propose</w:t>
      </w:r>
    </w:p>
    <w:p w14:paraId="698E4FB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également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un certain nombre de méthodes, toutes basées sur le vocabulaire, pour évaluer</w:t>
      </w:r>
    </w:p>
    <w:p w14:paraId="1396513E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si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les supports sont au niveau des apprenants, et préconise des supports adaptés aux</w:t>
      </w:r>
    </w:p>
    <w:p w14:paraId="08B77ED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besoins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>, aux objectifs et aux intérêts de chaque apprenant.</w:t>
      </w:r>
    </w:p>
    <w:p w14:paraId="0033DD91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sz w:val="18"/>
          <w:szCs w:val="18"/>
        </w:rPr>
      </w:pPr>
    </w:p>
    <w:p w14:paraId="68595855" w14:textId="0207CC43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L’article examine de près les objectifs des programmes de haut niveau et note que</w:t>
      </w:r>
    </w:p>
    <w:p w14:paraId="469EB17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tous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les apprenants qui travaillent à l’obtention de très hauts niveaux de compétence</w:t>
      </w:r>
    </w:p>
    <w:p w14:paraId="510BBE8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n’ont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pas les mêmes objectifs finaux en tête. Leurs objectifs, à ce niveau, diffèrent d’un</w:t>
      </w:r>
    </w:p>
    <w:p w14:paraId="4A98609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apprenant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à l’autre. Leurs objectifs ainsi que les besoins des organisations qui financent</w:t>
      </w:r>
    </w:p>
    <w:p w14:paraId="52BF234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leur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formation diffèrent aussi nettement des caractéristiques de la compétence de très</w:t>
      </w:r>
    </w:p>
    <w:p w14:paraId="09B9362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haut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niveau décrites par les normes de l’ACTFL et par les descripteurs des niveaux de</w:t>
      </w:r>
    </w:p>
    <w:p w14:paraId="215E79F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compétence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l’ILR : éloquence, appartenance au cercle restreint des élites et capacité à</w:t>
      </w:r>
    </w:p>
    <w:p w14:paraId="4078BFE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parler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d’une manière qui se rapproche du style écrit.</w:t>
      </w:r>
    </w:p>
    <w:p w14:paraId="736616D1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L’article affirme que les étudiants ont un ensemble de droits qui, lorsqu’ils sont</w:t>
      </w:r>
    </w:p>
    <w:p w14:paraId="2E86485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exercés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>, peuvent changer la trajectoire de chaque cours, à tout moment de la formation.</w:t>
      </w:r>
    </w:p>
    <w:p w14:paraId="7091E12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Il examine les voies de la réussite, en rejetant l’utilisation de la taxinomie de Bloom et</w:t>
      </w:r>
    </w:p>
    <w:p w14:paraId="2778AF0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en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suggérant l’utilisation de modélisations pour créer un programme d’enseignement.</w:t>
      </w:r>
    </w:p>
    <w:p w14:paraId="5BDF693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Une attention particulière est accordée aux techniques d’évaluation de la pertinence du</w:t>
      </w:r>
    </w:p>
    <w:p w14:paraId="24D3923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matériel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formation, avec un accent particulier mis sur le lexique, les familles lexicale et</w:t>
      </w:r>
    </w:p>
    <w:p w14:paraId="639CDC6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l’importance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connaître la quantité d’éléments lexicaux que possède l’apprenant, ainsi</w:t>
      </w:r>
    </w:p>
    <w:p w14:paraId="13C17EB8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lastRenderedPageBreak/>
        <w:t>que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sa vitesse de lecture.</w:t>
      </w:r>
    </w:p>
    <w:p w14:paraId="01271E02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Lorsque les formateurs connaissent bien leurs apprenants, ils peuvent, en collaboration</w:t>
      </w:r>
    </w:p>
    <w:p w14:paraId="54B6D8F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avec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ces derniers et les intervenants, créer un plan d’apprentissage qui réponde aux besoins</w:t>
      </w:r>
    </w:p>
    <w:p w14:paraId="05AD617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précis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chaque apprenant.</w:t>
      </w:r>
    </w:p>
    <w:p w14:paraId="67808484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Mots </w:t>
      </w: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clés: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>vocabulaire, objectifs, droits, taxinomie de Bloom, profilage de textes</w:t>
      </w:r>
    </w:p>
    <w:p w14:paraId="201187D9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</w:p>
    <w:p w14:paraId="4868B2F0" w14:textId="5059CCC5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Feuilles de route pour l’acquisition d’une expression orale de très haut niveau.</w:t>
      </w:r>
    </w:p>
    <w:p w14:paraId="73A58C1B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</w:rPr>
      </w:pPr>
      <w:r>
        <w:rPr>
          <w:rFonts w:ascii="WarnockPro-Regular" w:hAnsi="WarnockPro-Regular" w:cs="WarnockPro-Regular"/>
          <w:kern w:val="0"/>
        </w:rPr>
        <w:t>Jack Franke (Defense Language Institute Foreign Language Center)</w:t>
      </w:r>
    </w:p>
    <w:p w14:paraId="30FCEFBB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Bien que les études en immersion soient considérées aux États-Unis comme une</w:t>
      </w:r>
    </w:p>
    <w:p w14:paraId="72859F9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condition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</w:t>
      </w:r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sine qua non </w:t>
      </w:r>
      <w:r w:rsidRPr="00EC4E9E">
        <w:rPr>
          <w:rFonts w:ascii="WarnockPro-Regular" w:hAnsi="WarnockPro-Regular" w:cs="WarnockPro-Regular"/>
          <w:kern w:val="0"/>
          <w:lang w:val="fr-LU"/>
        </w:rPr>
        <w:t>à l’apprentissage d’une langue étrangère, les études à l’étranger</w:t>
      </w:r>
    </w:p>
    <w:p w14:paraId="0B4848B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ne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constituent pas pour autant la panacée pour atteindre un très haut niveau en</w:t>
      </w:r>
    </w:p>
    <w:p w14:paraId="6F1A3479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compétence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orale. Cette étude cherche à découvrir comment la persévérance, les études</w:t>
      </w:r>
    </w:p>
    <w:p w14:paraId="5B5BF54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en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immersion, la motivation et l’autonomie de l’apprenant jouent un rôle dans la quête</w:t>
      </w:r>
    </w:p>
    <w:p w14:paraId="71DE61D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d’une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compétence orale de très haut niveau. Dans le cadre de la théorie de la complexité et</w:t>
      </w:r>
    </w:p>
    <w:p w14:paraId="7B5B566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du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modèle phénoménologique, l’étude a utilisé, comme principal instrument de collecte</w:t>
      </w:r>
    </w:p>
    <w:p w14:paraId="7A0EB8B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données, des entretiens avec quatre éducateurs dans un institut de l’Ouest des États-</w:t>
      </w:r>
    </w:p>
    <w:p w14:paraId="21D0EB5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Unis. Cette étude a examiné, à l’aide d’entretiens et de recherches documentaires, les</w:t>
      </w:r>
    </w:p>
    <w:p w14:paraId="66E2597A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feuilles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route qu’ont utilisées des enseignants de langues étrangères ayant réussi à</w:t>
      </w:r>
    </w:p>
    <w:p w14:paraId="148F7F7B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atteindre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une compétence d’expression orale de très haut niveau. L’analyse des données</w:t>
      </w:r>
    </w:p>
    <w:p w14:paraId="601A433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issues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des entretiens avec les participants a révélé que la maîtrise de l’expression orale</w:t>
      </w:r>
    </w:p>
    <w:p w14:paraId="6A914AE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était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une quête très personnelle, caractérisée par différentes motivations reposant sur le</w:t>
      </w:r>
    </w:p>
    <w:p w14:paraId="62F45DE8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choix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d’une langue étrangère, l’engagement dans la culture cible, la détermination et le</w:t>
      </w:r>
    </w:p>
    <w:p w14:paraId="53C37821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temps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. Dans l’ensemble, les participants étaient des apprenants autonomes et </w:t>
      </w: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efficaces;</w:t>
      </w:r>
      <w:proofErr w:type="gramEnd"/>
    </w:p>
    <w:p w14:paraId="0CE46494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beaucoup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étaient mariés à des conjoints parlant une langue étrangère et passaient de ce</w:t>
      </w:r>
    </w:p>
    <w:p w14:paraId="30F34C6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fait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longues périodes dans la culture et la communauté correspondantes. L’étude a</w:t>
      </w:r>
    </w:p>
    <w:p w14:paraId="6809A480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sz w:val="18"/>
          <w:szCs w:val="18"/>
          <w:lang w:val="fr-LU"/>
        </w:rPr>
      </w:pPr>
    </w:p>
    <w:p w14:paraId="11BC8478" w14:textId="60C7B222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fourni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des feuilles de route pouvant inspirer les étudiants et les éducateurs qui souhaitent</w:t>
      </w:r>
    </w:p>
    <w:p w14:paraId="0832B8C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atteindre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une compétence linguistique proche de celle des locuteurs natifs.</w:t>
      </w:r>
    </w:p>
    <w:p w14:paraId="1CE855B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Mots </w:t>
      </w: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clés: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 xml:space="preserve">ténacité, immersion, motivation, autonomie de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l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>›apprenant, compétence</w:t>
      </w:r>
    </w:p>
    <w:p w14:paraId="182CD44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linguistique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haut très niveau</w:t>
      </w:r>
    </w:p>
    <w:p w14:paraId="6397C47D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</w:p>
    <w:p w14:paraId="0AD955C2" w14:textId="54F8B07E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Sur la corde raide : Grilles pour guider l’évaluation formative en tenant compte de</w:t>
      </w:r>
    </w:p>
    <w:p w14:paraId="4EBBA76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la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zone de développement proximal</w:t>
      </w:r>
    </w:p>
    <w:p w14:paraId="1011EF8A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Betty Lou Leaver,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Ph.D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. (MSI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Press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LLC)</w:t>
      </w:r>
    </w:p>
    <w:p w14:paraId="1B1F41C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L’abîme entre les différents niveaux de compétence (ILR 1, 2, 3, 4/ACTFL Débutant,</w:t>
      </w:r>
    </w:p>
    <w:p w14:paraId="192BFF9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Intermédiaire, Avancé, Très haut niveau) est grand ; Passer d’un niveau à un autre peut</w:t>
      </w:r>
    </w:p>
    <w:p w14:paraId="47F8D41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prendre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nombreuses années – jusqu’à 17 ans pour certains locuteurs de langue de</w:t>
      </w:r>
    </w:p>
    <w:p w14:paraId="2FEE465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It" w:hAnsi="WarnockPro-It" w:cs="WarnockPro-It"/>
          <w:i/>
          <w:iCs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niveau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4. Les grilles « Cusp », développées sous l’égide du </w:t>
      </w:r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National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Foreign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</w:p>
    <w:p w14:paraId="630D170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It" w:hAnsi="WarnockPro-It" w:cs="WarnockPro-It"/>
          <w:i/>
          <w:iCs/>
          <w:kern w:val="0"/>
          <w:lang w:val="fr-LU"/>
        </w:rPr>
        <w:t>Center</w:t>
      </w:r>
      <w:r w:rsidRPr="00EC4E9E">
        <w:rPr>
          <w:rFonts w:ascii="WarnockPro-Regular" w:hAnsi="WarnockPro-Regular" w:cs="WarnockPro-Regular"/>
          <w:kern w:val="0"/>
          <w:lang w:val="fr-LU"/>
        </w:rPr>
        <w:t>, avec la contribution d’un grand nombre de locuteurs de langues de niveau 4, se</w:t>
      </w:r>
    </w:p>
    <w:p w14:paraId="083838F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concentrent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sur les éléments de compétence essentiels pour passer d’un niveau à l’autre</w:t>
      </w:r>
    </w:p>
    <w:p w14:paraId="6FEE06A9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et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sur la manière d’utiliser ces connaissances, ainsi que sur l’évaluation formative, afin</w:t>
      </w:r>
    </w:p>
    <w:p w14:paraId="198284A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déterminer les étapes successives les mieux adaptées à chaque apprenant individuel,</w:t>
      </w:r>
    </w:p>
    <w:p w14:paraId="3F2876F4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en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fonction de ses zones de développement proximal. Les grilles fournies pour l’anglais,</w:t>
      </w:r>
    </w:p>
    <w:p w14:paraId="0E683886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français, le russe et l’espagnol peuvent être utilisées pour guider le développement de</w:t>
      </w:r>
    </w:p>
    <w:p w14:paraId="4F4D23E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grilles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similaires pour d’autres langues.</w:t>
      </w:r>
    </w:p>
    <w:p w14:paraId="5D6729B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Mots </w:t>
      </w: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clés: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>grilles « Cusp » de compétence, grilles « Cusp », zone de développement</w:t>
      </w:r>
    </w:p>
    <w:p w14:paraId="59B902D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proximal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>, évaluation formative, niveaux de compétence.</w:t>
      </w:r>
    </w:p>
    <w:p w14:paraId="07EAE362" w14:textId="77777777" w:rsid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</w:p>
    <w:p w14:paraId="29ADC685" w14:textId="5B9540FC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Évaluation Formative sur Protocole : Évolution et révolution au </w:t>
      </w:r>
      <w:proofErr w:type="spell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Defense</w:t>
      </w:r>
      <w:proofErr w:type="spell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proofErr w:type="spell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Language</w:t>
      </w:r>
      <w:proofErr w:type="spellEnd"/>
    </w:p>
    <w:p w14:paraId="0AA5B7C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Bold" w:hAnsi="WarnockPro-Bold" w:cs="WarnockPro-Bold"/>
          <w:b/>
          <w:bCs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Institute</w:t>
      </w:r>
    </w:p>
    <w:p w14:paraId="12892B5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lastRenderedPageBreak/>
        <w:t>Andrew R. Corin, Ph. D. (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Defense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Institute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Foreign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Center</w:t>
      </w:r>
      <w:r w:rsidRPr="00EC4E9E">
        <w:rPr>
          <w:rFonts w:ascii="WarnockPro-Regular" w:hAnsi="WarnockPro-Regular" w:cs="WarnockPro-Regular"/>
          <w:kern w:val="0"/>
          <w:lang w:val="fr-LU"/>
        </w:rPr>
        <w:t>, émérite) &amp;</w:t>
      </w:r>
    </w:p>
    <w:p w14:paraId="335133E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Sergey Entis (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Defense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Institute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Foreign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Center</w:t>
      </w:r>
      <w:r w:rsidRPr="00EC4E9E">
        <w:rPr>
          <w:rFonts w:ascii="WarnockPro-Regular" w:hAnsi="WarnockPro-Regular" w:cs="WarnockPro-Regular"/>
          <w:kern w:val="0"/>
          <w:lang w:val="fr-LU"/>
        </w:rPr>
        <w:t>, retraité)</w:t>
      </w:r>
    </w:p>
    <w:p w14:paraId="4D3FEED7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L’Évaluation Formative sur Protocole peut être un outil puissant pour améliorer</w:t>
      </w:r>
    </w:p>
    <w:p w14:paraId="28BA9F79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l’apprentissage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et en diagnostiquer les difficultés. Cependant, il existe une tension</w:t>
      </w:r>
    </w:p>
    <w:p w14:paraId="1A84B7FB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inhérente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entre l’efficacité et l’efficience dans la mise en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oeuvre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de l’Évaluation Formative</w:t>
      </w:r>
    </w:p>
    <w:p w14:paraId="7092D58C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sur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Protocole. Cette tension peut être abordée par le biais d’une grande variété de</w:t>
      </w:r>
    </w:p>
    <w:p w14:paraId="4C1752FF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stratégies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: «rationner « l’Évaluation Formative sur Protocole en fonction des difficultés</w:t>
      </w:r>
    </w:p>
    <w:p w14:paraId="35D7D349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d’apprentissage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individuelles ; appliquer l’Évaluation Formative sur Protocole à tous</w:t>
      </w:r>
    </w:p>
    <w:p w14:paraId="33D15869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les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élèves, mais dans un moins grand nombre de cas ; ou élaborer un protocole d’une</w:t>
      </w:r>
    </w:p>
    <w:p w14:paraId="0139732A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plus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grande efficacité. Quelle que soit la stratégie adoptée, il va de soi que l’Évaluation</w:t>
      </w:r>
    </w:p>
    <w:p w14:paraId="1403BC85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>Formative sur Protocole doit être intégrée au maximum à une évaluation formative basée</w:t>
      </w:r>
    </w:p>
    <w:p w14:paraId="6E63FEE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sur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l’enseignement en tant que partie intégrante de l’enseignement quotidien en classe.</w:t>
      </w:r>
    </w:p>
    <w:p w14:paraId="0D35C470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It" w:hAnsi="WarnockPro-It" w:cs="WarnockPro-It"/>
          <w:i/>
          <w:iCs/>
          <w:kern w:val="0"/>
          <w:lang w:val="fr-LU"/>
        </w:rPr>
      </w:pPr>
      <w:r w:rsidRPr="00EC4E9E">
        <w:rPr>
          <w:rFonts w:ascii="WarnockPro-Regular" w:hAnsi="WarnockPro-Regular" w:cs="WarnockPro-Regular"/>
          <w:kern w:val="0"/>
          <w:lang w:val="fr-LU"/>
        </w:rPr>
        <w:t xml:space="preserve">Cet article présente le dilemme tel qu’il s’est développé au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Defense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Institute</w:t>
      </w:r>
    </w:p>
    <w:p w14:paraId="62BDAB84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Foreign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</w:t>
      </w:r>
      <w:proofErr w:type="spellStart"/>
      <w:r w:rsidRPr="00EC4E9E">
        <w:rPr>
          <w:rFonts w:ascii="WarnockPro-It" w:hAnsi="WarnockPro-It" w:cs="WarnockPro-It"/>
          <w:i/>
          <w:iCs/>
          <w:kern w:val="0"/>
          <w:lang w:val="fr-LU"/>
        </w:rPr>
        <w:t>Language</w:t>
      </w:r>
      <w:proofErr w:type="spellEnd"/>
      <w:r w:rsidRPr="00EC4E9E">
        <w:rPr>
          <w:rFonts w:ascii="WarnockPro-It" w:hAnsi="WarnockPro-It" w:cs="WarnockPro-It"/>
          <w:i/>
          <w:iCs/>
          <w:kern w:val="0"/>
          <w:lang w:val="fr-LU"/>
        </w:rPr>
        <w:t xml:space="preserve"> Center </w:t>
      </w:r>
      <w:r w:rsidRPr="00EC4E9E">
        <w:rPr>
          <w:rFonts w:ascii="WarnockPro-Regular" w:hAnsi="WarnockPro-Regular" w:cs="WarnockPro-Regular"/>
          <w:kern w:val="0"/>
          <w:lang w:val="fr-LU"/>
        </w:rPr>
        <w:t>(DLI-FLC) entre 1989 et 2015, ainsi que la voie suivie pour le</w:t>
      </w:r>
    </w:p>
    <w:p w14:paraId="2169D4F3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surmonter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par une nouvelle conception de l’Évaluation Formative sur Protocole.</w:t>
      </w:r>
    </w:p>
    <w:p w14:paraId="7E5DDE41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r w:rsidRPr="00EC4E9E">
        <w:rPr>
          <w:rFonts w:ascii="WarnockPro-Bold" w:hAnsi="WarnockPro-Bold" w:cs="WarnockPro-Bold"/>
          <w:b/>
          <w:bCs/>
          <w:kern w:val="0"/>
          <w:lang w:val="fr-LU"/>
        </w:rPr>
        <w:t>Mots-</w:t>
      </w:r>
      <w:proofErr w:type="gramStart"/>
      <w:r w:rsidRPr="00EC4E9E">
        <w:rPr>
          <w:rFonts w:ascii="WarnockPro-Bold" w:hAnsi="WarnockPro-Bold" w:cs="WarnockPro-Bold"/>
          <w:b/>
          <w:bCs/>
          <w:kern w:val="0"/>
          <w:lang w:val="fr-LU"/>
        </w:rPr>
        <w:t>clés:</w:t>
      </w:r>
      <w:proofErr w:type="gramEnd"/>
      <w:r w:rsidRPr="00EC4E9E">
        <w:rPr>
          <w:rFonts w:ascii="WarnockPro-Bold" w:hAnsi="WarnockPro-Bold" w:cs="WarnockPro-Bold"/>
          <w:b/>
          <w:bCs/>
          <w:kern w:val="0"/>
          <w:lang w:val="fr-LU"/>
        </w:rPr>
        <w:t xml:space="preserve"> </w:t>
      </w:r>
      <w:r w:rsidRPr="00EC4E9E">
        <w:rPr>
          <w:rFonts w:ascii="WarnockPro-Regular" w:hAnsi="WarnockPro-Regular" w:cs="WarnockPro-Regular"/>
          <w:kern w:val="0"/>
          <w:lang w:val="fr-LU"/>
        </w:rPr>
        <w:t>évaluation diagnostique; évaluation formative; évaluation dynamique; zone</w:t>
      </w:r>
    </w:p>
    <w:p w14:paraId="72246F6D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développement proximal; variables de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l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>›apprenant; styles d›apprentissage; typologie des</w:t>
      </w:r>
    </w:p>
    <w:p w14:paraId="7AD3A6B3" w14:textId="77777777" w:rsidR="00EC4E9E" w:rsidRPr="00EC4E9E" w:rsidRDefault="00EC4E9E" w:rsidP="00EC4E9E">
      <w:pPr>
        <w:autoSpaceDE w:val="0"/>
        <w:autoSpaceDN w:val="0"/>
        <w:adjustRightInd w:val="0"/>
        <w:spacing w:after="0" w:line="240" w:lineRule="auto"/>
        <w:rPr>
          <w:rFonts w:ascii="WarnockPro-Regular" w:hAnsi="WarnockPro-Regular" w:cs="WarnockPro-Regular"/>
          <w:kern w:val="0"/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textes;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compétences linguistiques ; enseignement des langues du monde; apprentissage</w:t>
      </w:r>
    </w:p>
    <w:p w14:paraId="496676C1" w14:textId="24AF15D8" w:rsidR="00B43370" w:rsidRPr="00EC4E9E" w:rsidRDefault="00EC4E9E" w:rsidP="00EC4E9E">
      <w:pPr>
        <w:rPr>
          <w:lang w:val="fr-LU"/>
        </w:rPr>
      </w:pPr>
      <w:proofErr w:type="gramStart"/>
      <w:r w:rsidRPr="00EC4E9E">
        <w:rPr>
          <w:rFonts w:ascii="WarnockPro-Regular" w:hAnsi="WarnockPro-Regular" w:cs="WarnockPro-Regular"/>
          <w:kern w:val="0"/>
          <w:lang w:val="fr-LU"/>
        </w:rPr>
        <w:t>des</w:t>
      </w:r>
      <w:proofErr w:type="gramEnd"/>
      <w:r w:rsidRPr="00EC4E9E">
        <w:rPr>
          <w:rFonts w:ascii="WarnockPro-Regular" w:hAnsi="WarnockPro-Regular" w:cs="WarnockPro-Regular"/>
          <w:kern w:val="0"/>
          <w:lang w:val="fr-LU"/>
        </w:rPr>
        <w:t xml:space="preserve"> langues étrangères;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Defense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Language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Institute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Foreign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</w:t>
      </w:r>
      <w:proofErr w:type="spellStart"/>
      <w:r w:rsidRPr="00EC4E9E">
        <w:rPr>
          <w:rFonts w:ascii="WarnockPro-Regular" w:hAnsi="WarnockPro-Regular" w:cs="WarnockPro-Regular"/>
          <w:kern w:val="0"/>
          <w:lang w:val="fr-LU"/>
        </w:rPr>
        <w:t>Language</w:t>
      </w:r>
      <w:proofErr w:type="spellEnd"/>
      <w:r w:rsidRPr="00EC4E9E">
        <w:rPr>
          <w:rFonts w:ascii="WarnockPro-Regular" w:hAnsi="WarnockPro-Regular" w:cs="WarnockPro-Regular"/>
          <w:kern w:val="0"/>
          <w:lang w:val="fr-LU"/>
        </w:rPr>
        <w:t xml:space="preserve"> Center</w:t>
      </w:r>
    </w:p>
    <w:sectPr w:rsidR="00B43370" w:rsidRPr="00EC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rnock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WarnockPro-Bold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E"/>
    <w:rsid w:val="00987262"/>
    <w:rsid w:val="00B43370"/>
    <w:rsid w:val="00E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B2D"/>
  <w15:chartTrackingRefBased/>
  <w15:docId w15:val="{BD4F6E6F-C67B-4738-B1AA-99F4B5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7227</Characters>
  <Application>Microsoft Office Word</Application>
  <DocSecurity>0</DocSecurity>
  <Lines>118</Lines>
  <Paragraphs>33</Paragraphs>
  <ScaleCrop>false</ScaleCrop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2023-09-21T22:06:00Z</dcterms:created>
  <dcterms:modified xsi:type="dcterms:W3CDTF">2023-09-21T22:10:00Z</dcterms:modified>
</cp:coreProperties>
</file>